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BA29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1BE90018" w14:textId="3236A6E5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 xml:space="preserve">Linna/Vallavolikogu </w:t>
      </w:r>
      <w:r w:rsidR="005A1805">
        <w:rPr>
          <w:rFonts w:ascii="Times New Roman" w:hAnsi="Times New Roman" w:cs="Times New Roman"/>
          <w:sz w:val="24"/>
          <w:szCs w:val="24"/>
        </w:rPr>
        <w:t>määruse</w:t>
      </w:r>
      <w:r w:rsidR="00660FD2">
        <w:rPr>
          <w:rFonts w:ascii="Times New Roman" w:hAnsi="Times New Roman" w:cs="Times New Roman"/>
          <w:sz w:val="24"/>
          <w:szCs w:val="24"/>
        </w:rPr>
        <w:t xml:space="preserve"> </w:t>
      </w:r>
      <w:r w:rsidRPr="005606E6">
        <w:rPr>
          <w:rFonts w:ascii="Times New Roman" w:hAnsi="Times New Roman" w:cs="Times New Roman"/>
          <w:sz w:val="24"/>
          <w:szCs w:val="24"/>
        </w:rPr>
        <w:t>eelnõu “Võru maakonna arengustrateegia 2035+</w:t>
      </w:r>
      <w:r w:rsidR="00041AE2">
        <w:rPr>
          <w:rFonts w:ascii="Times New Roman" w:hAnsi="Times New Roman" w:cs="Times New Roman"/>
          <w:sz w:val="24"/>
          <w:szCs w:val="24"/>
        </w:rPr>
        <w:t xml:space="preserve"> </w:t>
      </w:r>
      <w:r w:rsidR="00041AE2" w:rsidRPr="00041AE2">
        <w:rPr>
          <w:rFonts w:ascii="Times New Roman" w:hAnsi="Times New Roman" w:cs="Times New Roman"/>
          <w:sz w:val="24"/>
          <w:szCs w:val="24"/>
        </w:rPr>
        <w:t>Lisa</w:t>
      </w:r>
      <w:r w:rsidR="002B77A6">
        <w:rPr>
          <w:rFonts w:ascii="Times New Roman" w:hAnsi="Times New Roman" w:cs="Times New Roman"/>
          <w:sz w:val="24"/>
          <w:szCs w:val="24"/>
        </w:rPr>
        <w:t xml:space="preserve"> </w:t>
      </w:r>
      <w:r w:rsidR="00041AE2" w:rsidRPr="00041AE2">
        <w:rPr>
          <w:rFonts w:ascii="Times New Roman" w:hAnsi="Times New Roman" w:cs="Times New Roman"/>
          <w:sz w:val="24"/>
          <w:szCs w:val="24"/>
        </w:rPr>
        <w:t>3</w:t>
      </w:r>
      <w:r w:rsidR="00041AE2">
        <w:rPr>
          <w:rFonts w:ascii="Times New Roman" w:hAnsi="Times New Roman" w:cs="Times New Roman"/>
          <w:sz w:val="24"/>
          <w:szCs w:val="24"/>
        </w:rPr>
        <w:t xml:space="preserve"> Tegevuskavad</w:t>
      </w:r>
      <w:r w:rsidRPr="005606E6">
        <w:rPr>
          <w:rFonts w:ascii="Times New Roman" w:hAnsi="Times New Roman" w:cs="Times New Roman"/>
          <w:sz w:val="24"/>
          <w:szCs w:val="24"/>
        </w:rPr>
        <w:t>“</w:t>
      </w:r>
      <w:r w:rsidR="005E11BB">
        <w:rPr>
          <w:rFonts w:ascii="Times New Roman" w:hAnsi="Times New Roman" w:cs="Times New Roman"/>
          <w:sz w:val="24"/>
          <w:szCs w:val="24"/>
        </w:rPr>
        <w:t xml:space="preserve"> </w:t>
      </w:r>
      <w:r w:rsidR="00041AE2">
        <w:rPr>
          <w:rFonts w:ascii="Times New Roman" w:hAnsi="Times New Roman" w:cs="Times New Roman"/>
          <w:sz w:val="24"/>
          <w:szCs w:val="24"/>
        </w:rPr>
        <w:t xml:space="preserve">uuendamise </w:t>
      </w:r>
      <w:r w:rsidRPr="005606E6">
        <w:rPr>
          <w:rFonts w:ascii="Times New Roman" w:hAnsi="Times New Roman" w:cs="Times New Roman"/>
          <w:sz w:val="24"/>
          <w:szCs w:val="24"/>
        </w:rPr>
        <w:t>juurde</w:t>
      </w:r>
      <w:r w:rsidR="005606E6">
        <w:rPr>
          <w:rFonts w:ascii="Times New Roman" w:hAnsi="Times New Roman" w:cs="Times New Roman"/>
          <w:sz w:val="24"/>
          <w:szCs w:val="24"/>
        </w:rPr>
        <w:t>.</w:t>
      </w:r>
    </w:p>
    <w:p w14:paraId="54B56AEA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376D0" w14:textId="77777777" w:rsidR="00984177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Sissejuhatus</w:t>
      </w:r>
    </w:p>
    <w:p w14:paraId="116DCDFC" w14:textId="525D93A8" w:rsidR="008B3185" w:rsidRDefault="00660FD2" w:rsidP="00660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0FD2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DC2F93" w:rsidRPr="007D3D47">
        <w:rPr>
          <w:rFonts w:ascii="Times New Roman" w:hAnsi="Times New Roman" w:cs="Times New Roman"/>
          <w:sz w:val="24"/>
          <w:szCs w:val="24"/>
        </w:rPr>
        <w:t>37</w:t>
      </w:r>
      <w:r w:rsidR="00DC2F93" w:rsidRPr="007D3D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C2F93" w:rsidRPr="007D3D47">
        <w:rPr>
          <w:rFonts w:ascii="Times New Roman" w:hAnsi="Times New Roman" w:cs="Times New Roman"/>
          <w:sz w:val="24"/>
          <w:szCs w:val="24"/>
        </w:rPr>
        <w:t xml:space="preserve"> </w:t>
      </w:r>
      <w:r w:rsidRPr="00660FD2">
        <w:rPr>
          <w:rFonts w:ascii="Times New Roman" w:hAnsi="Times New Roman" w:cs="Times New Roman"/>
          <w:sz w:val="24"/>
          <w:szCs w:val="24"/>
        </w:rPr>
        <w:t xml:space="preserve"> lõike 2 järgi peab maakonna arengustrateegial olema tegevuskava või valdkondlikud tegevuskavad, mis ei pea hõlmama kogu arengustrateegia kehtivuse perioodi. </w:t>
      </w:r>
    </w:p>
    <w:p w14:paraId="203E24DF" w14:textId="77777777" w:rsidR="0062780D" w:rsidRPr="0062780D" w:rsidRDefault="0062780D" w:rsidP="0062780D">
      <w:pPr>
        <w:jc w:val="both"/>
        <w:rPr>
          <w:rFonts w:ascii="Times New Roman" w:hAnsi="Times New Roman" w:cs="Times New Roman"/>
          <w:sz w:val="24"/>
          <w:szCs w:val="24"/>
        </w:rPr>
      </w:pPr>
      <w:r w:rsidRPr="0062780D">
        <w:rPr>
          <w:rFonts w:ascii="Times New Roman" w:hAnsi="Times New Roman" w:cs="Times New Roman"/>
          <w:sz w:val="24"/>
          <w:szCs w:val="24"/>
        </w:rPr>
        <w:t>Tegevuskava puhul on tegemist nn rulluva dokumendiga, mis kirjeldab tegevusi 4 aasta perspektiivis ning igal aastal lisandub sellesse uus tegevusaasta.</w:t>
      </w:r>
    </w:p>
    <w:p w14:paraId="604E7909" w14:textId="3B259F4E" w:rsidR="0062780D" w:rsidRPr="0062780D" w:rsidRDefault="0062780D" w:rsidP="00660FD2">
      <w:pPr>
        <w:jc w:val="both"/>
        <w:rPr>
          <w:rFonts w:ascii="Times New Roman" w:hAnsi="Times New Roman" w:cs="Times New Roman"/>
          <w:sz w:val="24"/>
          <w:szCs w:val="24"/>
        </w:rPr>
      </w:pPr>
      <w:r w:rsidRPr="0062780D">
        <w:rPr>
          <w:rFonts w:ascii="Times New Roman" w:hAnsi="Times New Roman" w:cs="Times New Roman"/>
          <w:sz w:val="24"/>
          <w:szCs w:val="24"/>
        </w:rPr>
        <w:t xml:space="preserve">Tegevuskava peavad heaks kiitma maakonna kohalike omavalitsuste volikogud. </w:t>
      </w:r>
    </w:p>
    <w:p w14:paraId="37050831" w14:textId="75AD6B2A" w:rsidR="00C101A1" w:rsidRPr="0062780D" w:rsidRDefault="00C101A1" w:rsidP="00C101A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Arengustrateegia tegevuskava </w:t>
      </w:r>
      <w:r w:rsidR="00041AE2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uuendamise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protsessi koordineeris SA Võrumaa Arenduskeskus. </w:t>
      </w:r>
    </w:p>
    <w:p w14:paraId="66F66898" w14:textId="061A13D2" w:rsidR="002B77A6" w:rsidRPr="0062780D" w:rsidRDefault="005A1805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Võru maakonna arengustrateegia 2035+</w:t>
      </w:r>
      <w:r w:rsidR="005E11BB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tegevuskava </w:t>
      </w:r>
      <w:r w:rsidR="00041AE2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uuendamise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 avalik väljapanek toimu</w:t>
      </w:r>
      <w:r w:rsidR="002B77A6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B77A6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kahe lugemise vahel.  </w:t>
      </w:r>
    </w:p>
    <w:p w14:paraId="393FBC06" w14:textId="436659A2" w:rsidR="002B77A6" w:rsidRPr="0062780D" w:rsidRDefault="002B77A6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>Arengustrateegia tegevuskava uuendamise materjalid o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 </w:t>
      </w: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kättesaadavad maakonna kohalike omavalitsuste ja SA Võrumaa Arenduskeskuse veebilehtedel. </w:t>
      </w:r>
    </w:p>
    <w:p w14:paraId="762C3643" w14:textId="48896701" w:rsidR="00DC2F93" w:rsidRPr="0062780D" w:rsidRDefault="002B77A6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Avalikul väljapaneku raames saab kirjalikke küsimusi ja ettepanekuid esitada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kohalikele omavalitsustele ning sihtasutusele </w:t>
      </w: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>Võrumaa Arenduskeskus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C83E8FB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sisu</w:t>
      </w:r>
    </w:p>
    <w:p w14:paraId="7971F688" w14:textId="646D9CB4" w:rsidR="00E0346C" w:rsidRDefault="00E0346C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 w:rsidRPr="00E0346C">
        <w:rPr>
          <w:rFonts w:ascii="Times New Roman" w:hAnsi="Times New Roman" w:cs="Times New Roman"/>
          <w:sz w:val="24"/>
          <w:szCs w:val="24"/>
        </w:rPr>
        <w:t xml:space="preserve">Võru maakonna arengustrateegias kokku lepitud valdkondlike eesmärkide täitmiseks </w:t>
      </w:r>
      <w:r w:rsidR="00B13B13">
        <w:rPr>
          <w:rFonts w:ascii="Times New Roman" w:hAnsi="Times New Roman" w:cs="Times New Roman"/>
          <w:sz w:val="24"/>
          <w:szCs w:val="24"/>
        </w:rPr>
        <w:t xml:space="preserve">on </w:t>
      </w:r>
      <w:r w:rsidRPr="00E0346C">
        <w:rPr>
          <w:rFonts w:ascii="Times New Roman" w:hAnsi="Times New Roman" w:cs="Times New Roman"/>
          <w:sz w:val="24"/>
          <w:szCs w:val="24"/>
        </w:rPr>
        <w:t>koosta</w:t>
      </w:r>
      <w:r w:rsidR="00E4382D">
        <w:rPr>
          <w:rFonts w:ascii="Times New Roman" w:hAnsi="Times New Roman" w:cs="Times New Roman"/>
          <w:sz w:val="24"/>
          <w:szCs w:val="24"/>
        </w:rPr>
        <w:t>tud</w:t>
      </w:r>
      <w:r w:rsidR="009F67BF">
        <w:rPr>
          <w:rFonts w:ascii="Times New Roman" w:hAnsi="Times New Roman" w:cs="Times New Roman"/>
          <w:sz w:val="24"/>
          <w:szCs w:val="24"/>
        </w:rPr>
        <w:t xml:space="preserve"> tegevuskava</w:t>
      </w:r>
      <w:r w:rsidRPr="00E0346C">
        <w:rPr>
          <w:rFonts w:ascii="Times New Roman" w:hAnsi="Times New Roman" w:cs="Times New Roman"/>
          <w:sz w:val="24"/>
          <w:szCs w:val="24"/>
        </w:rPr>
        <w:t xml:space="preserve">. </w:t>
      </w:r>
      <w:r w:rsidR="009F67BF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041AE2">
        <w:rPr>
          <w:rFonts w:ascii="Times New Roman" w:hAnsi="Times New Roman" w:cs="Times New Roman"/>
          <w:sz w:val="24"/>
          <w:szCs w:val="24"/>
        </w:rPr>
        <w:t xml:space="preserve">uuendamiseks </w:t>
      </w:r>
      <w:r w:rsidR="009F67BF">
        <w:rPr>
          <w:rFonts w:ascii="Times New Roman" w:hAnsi="Times New Roman" w:cs="Times New Roman"/>
          <w:sz w:val="24"/>
          <w:szCs w:val="24"/>
        </w:rPr>
        <w:t xml:space="preserve">on </w:t>
      </w:r>
      <w:r w:rsidRPr="00E0346C">
        <w:rPr>
          <w:rFonts w:ascii="Times New Roman" w:hAnsi="Times New Roman" w:cs="Times New Roman"/>
          <w:sz w:val="24"/>
          <w:szCs w:val="24"/>
        </w:rPr>
        <w:t>kogu</w:t>
      </w:r>
      <w:r w:rsidR="009F67BF">
        <w:rPr>
          <w:rFonts w:ascii="Times New Roman" w:hAnsi="Times New Roman" w:cs="Times New Roman"/>
          <w:sz w:val="24"/>
          <w:szCs w:val="24"/>
        </w:rPr>
        <w:t xml:space="preserve">tud </w:t>
      </w:r>
      <w:r w:rsidRPr="00E0346C">
        <w:rPr>
          <w:rFonts w:ascii="Times New Roman" w:hAnsi="Times New Roman" w:cs="Times New Roman"/>
          <w:sz w:val="24"/>
          <w:szCs w:val="24"/>
        </w:rPr>
        <w:t xml:space="preserve"> maakonna omavalitsustelt ja teistelt asjassepuutuvatelt organisatsioonidelt info nende algatuste ja plaanide kohta, mis aitavad kaasa </w:t>
      </w:r>
      <w:r w:rsidR="008626FF">
        <w:rPr>
          <w:rFonts w:ascii="Times New Roman" w:hAnsi="Times New Roman" w:cs="Times New Roman"/>
          <w:sz w:val="24"/>
          <w:szCs w:val="24"/>
        </w:rPr>
        <w:t xml:space="preserve">valdkondlike </w:t>
      </w:r>
      <w:r w:rsidRPr="00E0346C">
        <w:rPr>
          <w:rFonts w:ascii="Times New Roman" w:hAnsi="Times New Roman" w:cs="Times New Roman"/>
          <w:sz w:val="24"/>
          <w:szCs w:val="24"/>
        </w:rPr>
        <w:t xml:space="preserve">strateegiliste eesmärkide saavutamisele.  </w:t>
      </w:r>
    </w:p>
    <w:p w14:paraId="77A2D819" w14:textId="1325FB21" w:rsidR="00FB57D3" w:rsidRPr="00E0346C" w:rsidRDefault="00FB57D3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Arengustrateegia </w:t>
      </w:r>
      <w:r w:rsidR="005E11BB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041AE2">
        <w:rPr>
          <w:rFonts w:ascii="Times New Roman" w:hAnsi="Times New Roman" w:cs="Times New Roman"/>
          <w:sz w:val="24"/>
          <w:szCs w:val="24"/>
        </w:rPr>
        <w:t>uuendamiseks andsid sisendi</w:t>
      </w:r>
      <w:r w:rsidR="0062780D">
        <w:rPr>
          <w:rFonts w:ascii="Times New Roman" w:hAnsi="Times New Roman" w:cs="Times New Roman"/>
          <w:sz w:val="24"/>
          <w:szCs w:val="24"/>
        </w:rPr>
        <w:t xml:space="preserve"> kohalikud omavalitsused ja peamised partnerid</w:t>
      </w:r>
      <w:r w:rsidR="00C62745">
        <w:rPr>
          <w:rFonts w:ascii="Times New Roman" w:hAnsi="Times New Roman" w:cs="Times New Roman"/>
          <w:sz w:val="24"/>
          <w:szCs w:val="24"/>
        </w:rPr>
        <w:t xml:space="preserve">. </w:t>
      </w:r>
      <w:r w:rsidR="00E4382D">
        <w:rPr>
          <w:rFonts w:ascii="Times New Roman" w:hAnsi="Times New Roman" w:cs="Times New Roman"/>
          <w:sz w:val="24"/>
          <w:szCs w:val="24"/>
        </w:rPr>
        <w:t>M</w:t>
      </w:r>
      <w:r w:rsidR="00E4382D" w:rsidRPr="00E4382D">
        <w:rPr>
          <w:rFonts w:ascii="Times New Roman" w:hAnsi="Times New Roman" w:cs="Times New Roman"/>
          <w:sz w:val="24"/>
          <w:szCs w:val="24"/>
        </w:rPr>
        <w:t>aakondlike ja kohalike mõjuga investeeringu</w:t>
      </w:r>
      <w:r w:rsidR="00E4382D">
        <w:rPr>
          <w:rFonts w:ascii="Times New Roman" w:hAnsi="Times New Roman" w:cs="Times New Roman"/>
          <w:sz w:val="24"/>
          <w:szCs w:val="24"/>
        </w:rPr>
        <w:t xml:space="preserve">te nimekirja </w:t>
      </w:r>
      <w:r w:rsidR="005E11BB">
        <w:rPr>
          <w:rFonts w:ascii="Times New Roman" w:hAnsi="Times New Roman" w:cs="Times New Roman"/>
          <w:sz w:val="24"/>
          <w:szCs w:val="24"/>
        </w:rPr>
        <w:t xml:space="preserve">ülevaatamisel ja ajakohastamisel </w:t>
      </w:r>
      <w:r w:rsidR="00E4382D">
        <w:rPr>
          <w:rFonts w:ascii="Times New Roman" w:hAnsi="Times New Roman" w:cs="Times New Roman"/>
          <w:sz w:val="24"/>
          <w:szCs w:val="24"/>
        </w:rPr>
        <w:t xml:space="preserve">osalesid maakonna kohalikud omavalitsused. Arengustrateegia </w:t>
      </w:r>
      <w:r w:rsidR="005E11BB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C62745">
        <w:rPr>
          <w:rFonts w:ascii="Times New Roman" w:hAnsi="Times New Roman" w:cs="Times New Roman"/>
          <w:sz w:val="24"/>
          <w:szCs w:val="24"/>
        </w:rPr>
        <w:t xml:space="preserve">uuendamise </w:t>
      </w:r>
      <w:r w:rsidR="00E4382D">
        <w:rPr>
          <w:rFonts w:ascii="Times New Roman" w:hAnsi="Times New Roman" w:cs="Times New Roman"/>
          <w:sz w:val="24"/>
          <w:szCs w:val="24"/>
        </w:rPr>
        <w:t>avalikustamise protsessi käigus said teha ettepanekuid organisatsioonid</w:t>
      </w:r>
      <w:r w:rsidR="00FC4E80">
        <w:rPr>
          <w:rFonts w:ascii="Times New Roman" w:hAnsi="Times New Roman" w:cs="Times New Roman"/>
          <w:sz w:val="24"/>
          <w:szCs w:val="24"/>
        </w:rPr>
        <w:t>, ettevõtted</w:t>
      </w:r>
      <w:r w:rsidR="0062780D">
        <w:rPr>
          <w:rFonts w:ascii="Times New Roman" w:hAnsi="Times New Roman" w:cs="Times New Roman"/>
          <w:sz w:val="24"/>
          <w:szCs w:val="24"/>
        </w:rPr>
        <w:t xml:space="preserve"> </w:t>
      </w:r>
      <w:r w:rsidR="00E4382D">
        <w:rPr>
          <w:rFonts w:ascii="Times New Roman" w:hAnsi="Times New Roman" w:cs="Times New Roman"/>
          <w:sz w:val="24"/>
          <w:szCs w:val="24"/>
        </w:rPr>
        <w:t>ja maakonna elanikud.</w:t>
      </w:r>
    </w:p>
    <w:p w14:paraId="149CE4DC" w14:textId="333E0DD7" w:rsidR="00E0346C" w:rsidRPr="00E0346C" w:rsidRDefault="00FC4E80" w:rsidP="00862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egevuskava </w:t>
      </w:r>
      <w:r w:rsidR="009F67BF">
        <w:rPr>
          <w:rFonts w:ascii="Times New Roman" w:hAnsi="Times New Roman" w:cs="Times New Roman"/>
          <w:sz w:val="24"/>
          <w:szCs w:val="24"/>
        </w:rPr>
        <w:t xml:space="preserve">sisaldab valdkondlike tegevusi, mis on vajalikud visiooni ja eesmärkide saavutamiseks ning maakondlike ja kohalike mõjuga investeeringuid koos </w:t>
      </w:r>
      <w:r w:rsidR="00E0346C" w:rsidRPr="00E0346C">
        <w:rPr>
          <w:rFonts w:ascii="Times New Roman" w:hAnsi="Times New Roman" w:cs="Times New Roman"/>
          <w:sz w:val="24"/>
          <w:szCs w:val="24"/>
        </w:rPr>
        <w:t>objekti/proje</w:t>
      </w:r>
      <w:r w:rsidR="009F67BF">
        <w:rPr>
          <w:rFonts w:ascii="Times New Roman" w:hAnsi="Times New Roman" w:cs="Times New Roman"/>
          <w:sz w:val="24"/>
          <w:szCs w:val="24"/>
        </w:rPr>
        <w:t>kti nime,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 indikatiivse maksumuse, vastutaja</w:t>
      </w:r>
      <w:r w:rsidR="008626FF">
        <w:rPr>
          <w:rFonts w:ascii="Times New Roman" w:hAnsi="Times New Roman" w:cs="Times New Roman"/>
          <w:sz w:val="24"/>
          <w:szCs w:val="24"/>
        </w:rPr>
        <w:t xml:space="preserve">, partnerite 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ja </w:t>
      </w:r>
      <w:r w:rsidR="008626FF">
        <w:rPr>
          <w:rFonts w:ascii="Times New Roman" w:hAnsi="Times New Roman" w:cs="Times New Roman"/>
          <w:sz w:val="24"/>
          <w:szCs w:val="24"/>
        </w:rPr>
        <w:t xml:space="preserve">teostamise </w:t>
      </w:r>
      <w:r w:rsidR="00E0346C" w:rsidRPr="00E0346C">
        <w:rPr>
          <w:rFonts w:ascii="Times New Roman" w:hAnsi="Times New Roman" w:cs="Times New Roman"/>
          <w:sz w:val="24"/>
          <w:szCs w:val="24"/>
        </w:rPr>
        <w:t>tähtaja</w:t>
      </w:r>
      <w:r w:rsidR="008626FF">
        <w:rPr>
          <w:rFonts w:ascii="Times New Roman" w:hAnsi="Times New Roman" w:cs="Times New Roman"/>
          <w:sz w:val="24"/>
          <w:szCs w:val="24"/>
        </w:rPr>
        <w:t>ga.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5A2AE" w14:textId="0534A8D2" w:rsidR="008626FF" w:rsidRDefault="008626FF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Tegevuskavas on </w:t>
      </w:r>
      <w:r w:rsidR="00C62745">
        <w:rPr>
          <w:rFonts w:ascii="Times New Roman" w:hAnsi="Times New Roman" w:cs="Times New Roman"/>
          <w:sz w:val="24"/>
          <w:szCs w:val="24"/>
        </w:rPr>
        <w:t xml:space="preserve">üksteist </w:t>
      </w:r>
      <w:r>
        <w:rPr>
          <w:rFonts w:ascii="Times New Roman" w:hAnsi="Times New Roman" w:cs="Times New Roman"/>
          <w:sz w:val="24"/>
          <w:szCs w:val="24"/>
        </w:rPr>
        <w:t>valdkondlikku alajaotust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: 1. </w:t>
      </w:r>
      <w:r w:rsidR="00C62745">
        <w:rPr>
          <w:rFonts w:ascii="Times New Roman" w:hAnsi="Times New Roman" w:cs="Times New Roman"/>
          <w:sz w:val="24"/>
          <w:szCs w:val="24"/>
        </w:rPr>
        <w:t xml:space="preserve">Tervis ja heaolu ning </w:t>
      </w:r>
      <w:proofErr w:type="spellStart"/>
      <w:r w:rsidR="00C62745">
        <w:rPr>
          <w:rFonts w:ascii="Times New Roman" w:hAnsi="Times New Roman" w:cs="Times New Roman"/>
          <w:sz w:val="24"/>
          <w:szCs w:val="24"/>
        </w:rPr>
        <w:t>siseturvalisus</w:t>
      </w:r>
      <w:proofErr w:type="spellEnd"/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 2. </w:t>
      </w:r>
      <w:r w:rsidR="00C62745">
        <w:rPr>
          <w:rFonts w:ascii="Times New Roman" w:hAnsi="Times New Roman" w:cs="Times New Roman"/>
          <w:sz w:val="24"/>
          <w:szCs w:val="24"/>
        </w:rPr>
        <w:t>E</w:t>
      </w:r>
      <w:r w:rsidR="00E0346C" w:rsidRPr="00E0346C">
        <w:rPr>
          <w:rFonts w:ascii="Times New Roman" w:hAnsi="Times New Roman" w:cs="Times New Roman"/>
          <w:sz w:val="24"/>
          <w:szCs w:val="24"/>
        </w:rPr>
        <w:t>lukestva õppe valdk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3. </w:t>
      </w:r>
      <w:r w:rsidR="00C62745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estliku kogukonna valdk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4. </w:t>
      </w:r>
      <w:r w:rsidR="00C62745">
        <w:rPr>
          <w:rFonts w:ascii="Times New Roman" w:hAnsi="Times New Roman" w:cs="Times New Roman"/>
          <w:sz w:val="24"/>
          <w:szCs w:val="24"/>
        </w:rPr>
        <w:t>M</w:t>
      </w:r>
      <w:r w:rsidR="00E0346C" w:rsidRPr="00E0346C">
        <w:rPr>
          <w:rFonts w:ascii="Times New Roman" w:hAnsi="Times New Roman" w:cs="Times New Roman"/>
          <w:sz w:val="24"/>
          <w:szCs w:val="24"/>
        </w:rPr>
        <w:t>ajandusvaldkon</w:t>
      </w:r>
      <w:r w:rsidR="00C62745">
        <w:rPr>
          <w:rFonts w:ascii="Times New Roman" w:hAnsi="Times New Roman" w:cs="Times New Roman"/>
          <w:sz w:val="24"/>
          <w:szCs w:val="24"/>
        </w:rPr>
        <w:t>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5. </w:t>
      </w:r>
      <w:r w:rsidR="00C62745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ultuuri ja eripära valdkon</w:t>
      </w:r>
      <w:r w:rsidR="00C62745">
        <w:rPr>
          <w:rFonts w:ascii="Times New Roman" w:hAnsi="Times New Roman" w:cs="Times New Roman"/>
          <w:sz w:val="24"/>
          <w:szCs w:val="24"/>
        </w:rPr>
        <w:t>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. </w:t>
      </w:r>
      <w:r w:rsidR="00C62745">
        <w:rPr>
          <w:rFonts w:ascii="Times New Roman" w:hAnsi="Times New Roman" w:cs="Times New Roman"/>
          <w:sz w:val="24"/>
          <w:szCs w:val="24"/>
        </w:rPr>
        <w:t>T</w:t>
      </w:r>
      <w:r w:rsidR="00E0346C" w:rsidRPr="00E0346C">
        <w:rPr>
          <w:rFonts w:ascii="Times New Roman" w:hAnsi="Times New Roman" w:cs="Times New Roman"/>
          <w:sz w:val="24"/>
          <w:szCs w:val="24"/>
        </w:rPr>
        <w:t>aristu ja looduskes</w:t>
      </w:r>
      <w:r w:rsidR="00284D23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26FF"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26FF">
        <w:rPr>
          <w:rFonts w:ascii="Times New Roman" w:hAnsi="Times New Roman" w:cs="Times New Roman"/>
          <w:sz w:val="24"/>
          <w:szCs w:val="24"/>
        </w:rPr>
        <w:t xml:space="preserve">. </w:t>
      </w:r>
      <w:r w:rsidR="0048604C">
        <w:rPr>
          <w:rFonts w:ascii="Times New Roman" w:hAnsi="Times New Roman" w:cs="Times New Roman"/>
          <w:sz w:val="24"/>
          <w:szCs w:val="24"/>
        </w:rPr>
        <w:t>M</w:t>
      </w:r>
      <w:r w:rsidRPr="008626FF">
        <w:rPr>
          <w:rFonts w:ascii="Times New Roman" w:hAnsi="Times New Roman" w:cs="Times New Roman"/>
          <w:sz w:val="24"/>
          <w:szCs w:val="24"/>
        </w:rPr>
        <w:t>aine</w:t>
      </w:r>
      <w:r w:rsidR="0048604C">
        <w:rPr>
          <w:rFonts w:ascii="Times New Roman" w:hAnsi="Times New Roman" w:cs="Times New Roman"/>
          <w:sz w:val="24"/>
          <w:szCs w:val="24"/>
        </w:rPr>
        <w:t xml:space="preserve"> </w:t>
      </w:r>
      <w:r w:rsidRPr="008626FF">
        <w:rPr>
          <w:rFonts w:ascii="Times New Roman" w:hAnsi="Times New Roman" w:cs="Times New Roman"/>
          <w:sz w:val="24"/>
          <w:szCs w:val="24"/>
        </w:rPr>
        <w:t>valdko</w:t>
      </w:r>
      <w:r w:rsidR="0048604C">
        <w:rPr>
          <w:rFonts w:ascii="Times New Roman" w:hAnsi="Times New Roman" w:cs="Times New Roman"/>
          <w:sz w:val="24"/>
          <w:szCs w:val="24"/>
        </w:rPr>
        <w:t>nd</w:t>
      </w:r>
      <w:r w:rsidRPr="008626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8. PATEE tegevussuun</w:t>
      </w:r>
      <w:r w:rsidR="0048604C">
        <w:rPr>
          <w:rFonts w:ascii="Times New Roman" w:hAnsi="Times New Roman" w:cs="Times New Roman"/>
          <w:sz w:val="24"/>
          <w:szCs w:val="24"/>
        </w:rPr>
        <w:t xml:space="preserve">ad; 9. PEEK tegevussuunad; 10. Kagu-Eesti programmi tegevussuunad; 11. Setomaa programmi rakendamine 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1EDD5" w14:textId="1F54C51A" w:rsidR="008B3185" w:rsidRDefault="008626FF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FF">
        <w:rPr>
          <w:rFonts w:ascii="Times New Roman" w:hAnsi="Times New Roman" w:cs="Times New Roman"/>
          <w:sz w:val="24"/>
          <w:szCs w:val="24"/>
        </w:rPr>
        <w:lastRenderedPageBreak/>
        <w:t>Võru maakonna arengustrateegia 2035+ tegevuskava aastateks 20</w:t>
      </w:r>
      <w:r w:rsidR="005E11BB">
        <w:rPr>
          <w:rFonts w:ascii="Times New Roman" w:hAnsi="Times New Roman" w:cs="Times New Roman"/>
          <w:sz w:val="24"/>
          <w:szCs w:val="24"/>
        </w:rPr>
        <w:t>2</w:t>
      </w:r>
      <w:r w:rsidR="0062780D">
        <w:rPr>
          <w:rFonts w:ascii="Times New Roman" w:hAnsi="Times New Roman" w:cs="Times New Roman"/>
          <w:sz w:val="24"/>
          <w:szCs w:val="24"/>
        </w:rPr>
        <w:t>4</w:t>
      </w:r>
      <w:r w:rsidRPr="008626FF">
        <w:rPr>
          <w:rFonts w:ascii="Times New Roman" w:hAnsi="Times New Roman" w:cs="Times New Roman"/>
          <w:sz w:val="24"/>
          <w:szCs w:val="24"/>
        </w:rPr>
        <w:t>-202</w:t>
      </w:r>
      <w:r w:rsidR="0062780D">
        <w:rPr>
          <w:rFonts w:ascii="Times New Roman" w:hAnsi="Times New Roman" w:cs="Times New Roman"/>
          <w:sz w:val="24"/>
          <w:szCs w:val="24"/>
        </w:rPr>
        <w:t>8</w:t>
      </w:r>
      <w:r w:rsidRPr="008626FF">
        <w:rPr>
          <w:rFonts w:ascii="Times New Roman" w:hAnsi="Times New Roman" w:cs="Times New Roman"/>
          <w:sz w:val="24"/>
          <w:szCs w:val="24"/>
        </w:rPr>
        <w:t xml:space="preserve"> kinnitatakse maakonna kohalike omavalitsuste volikogude poolt eraldi </w:t>
      </w:r>
      <w:r w:rsidR="00C101A1">
        <w:rPr>
          <w:rFonts w:ascii="Times New Roman" w:hAnsi="Times New Roman" w:cs="Times New Roman"/>
          <w:sz w:val="24"/>
          <w:szCs w:val="24"/>
        </w:rPr>
        <w:t>määrusega</w:t>
      </w:r>
      <w:r w:rsidRPr="008626FF">
        <w:rPr>
          <w:rFonts w:ascii="Times New Roman" w:hAnsi="Times New Roman" w:cs="Times New Roman"/>
          <w:sz w:val="24"/>
          <w:szCs w:val="24"/>
        </w:rPr>
        <w:t>.</w:t>
      </w:r>
    </w:p>
    <w:p w14:paraId="0DADA49A" w14:textId="1FD5669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võrdlev analüüs</w:t>
      </w:r>
    </w:p>
    <w:p w14:paraId="12AB546D" w14:textId="137EB51D" w:rsidR="008B3185" w:rsidRPr="005606E6" w:rsidRDefault="008B3185" w:rsidP="0062780D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Eelnõu on kooskõlas kehtivate seaduste ja teiste õigusaktidega.</w:t>
      </w:r>
      <w:r w:rsidR="00FB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A2E0" w14:textId="232BEA92" w:rsidR="008B3185" w:rsidRPr="005606E6" w:rsidRDefault="005A180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="008B3185" w:rsidRPr="005606E6">
        <w:rPr>
          <w:rFonts w:ascii="Times New Roman" w:hAnsi="Times New Roman" w:cs="Times New Roman"/>
          <w:b/>
          <w:sz w:val="24"/>
          <w:szCs w:val="24"/>
        </w:rPr>
        <w:t>mõjud</w:t>
      </w:r>
    </w:p>
    <w:p w14:paraId="0083B5FB" w14:textId="5D183E47" w:rsidR="008B3185" w:rsidRPr="005606E6" w:rsidRDefault="005606E6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 xml:space="preserve">Kohaliku omavalitsuse korralduse seaduse </w:t>
      </w:r>
      <w:r w:rsidRPr="005606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</w:t>
      </w:r>
      <w:r w:rsidR="00486F5A" w:rsidRPr="005606E6">
        <w:rPr>
          <w:rFonts w:ascii="Times New Roman" w:eastAsia="Times New Roman" w:hAnsi="Times New Roman" w:cs="Times New Roman"/>
          <w:sz w:val="24"/>
          <w:szCs w:val="24"/>
          <w:lang w:eastAsia="et-EE"/>
        </w:rPr>
        <w:t>37</w:t>
      </w:r>
      <w:r w:rsidR="00486F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3</w:t>
      </w:r>
      <w:r w:rsidR="00486F5A" w:rsidRPr="00560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 </w:t>
      </w:r>
      <w:r w:rsidRPr="005606E6">
        <w:rPr>
          <w:rFonts w:ascii="Times New Roman" w:hAnsi="Times New Roman" w:cs="Times New Roman"/>
          <w:sz w:val="24"/>
          <w:szCs w:val="24"/>
        </w:rPr>
        <w:t xml:space="preserve">lg 11 </w:t>
      </w:r>
      <w:r w:rsidR="00486F5A">
        <w:rPr>
          <w:rFonts w:ascii="Times New Roman" w:hAnsi="Times New Roman" w:cs="Times New Roman"/>
          <w:sz w:val="24"/>
          <w:szCs w:val="24"/>
        </w:rPr>
        <w:t>kohaselt võetakse r</w:t>
      </w:r>
      <w:r w:rsidRPr="005606E6">
        <w:rPr>
          <w:rFonts w:ascii="Times New Roman" w:hAnsi="Times New Roman" w:cs="Times New Roman"/>
          <w:sz w:val="24"/>
          <w:szCs w:val="24"/>
        </w:rPr>
        <w:t>iigieelarvest kohaliku omavalitsuse üksustele juhtumipõhiste toetuste andmisel, riiklike investeeringute kavandamisel ja riigiasutuste osutatavate teenuste kättesaadavuse muutmisel maakonnas arvesse maakondlikus arengustrateegias kavandatud arengueesmärke ja kajastatud tegevuskogumeid.</w:t>
      </w:r>
    </w:p>
    <w:p w14:paraId="152F7844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576DC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koostaja</w:t>
      </w:r>
    </w:p>
    <w:p w14:paraId="0D4DAB91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Aivar Nigol</w:t>
      </w:r>
    </w:p>
    <w:p w14:paraId="77BBA4C0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arendusnõunik</w:t>
      </w:r>
    </w:p>
    <w:p w14:paraId="74AC5A19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SA Võrumaa Arenduskeskus</w:t>
      </w:r>
    </w:p>
    <w:sectPr w:rsidR="008B3185" w:rsidRPr="005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85"/>
    <w:rsid w:val="00041AE2"/>
    <w:rsid w:val="00054591"/>
    <w:rsid w:val="00284D23"/>
    <w:rsid w:val="002B77A6"/>
    <w:rsid w:val="0033354E"/>
    <w:rsid w:val="003B60A4"/>
    <w:rsid w:val="00443058"/>
    <w:rsid w:val="0048604C"/>
    <w:rsid w:val="00486F5A"/>
    <w:rsid w:val="00533C53"/>
    <w:rsid w:val="005606E6"/>
    <w:rsid w:val="005A1805"/>
    <w:rsid w:val="005D05BB"/>
    <w:rsid w:val="005E11BB"/>
    <w:rsid w:val="00614C9F"/>
    <w:rsid w:val="006200B0"/>
    <w:rsid w:val="0062780D"/>
    <w:rsid w:val="00660FD2"/>
    <w:rsid w:val="006D2294"/>
    <w:rsid w:val="00733339"/>
    <w:rsid w:val="007A3031"/>
    <w:rsid w:val="007C5B62"/>
    <w:rsid w:val="008041C8"/>
    <w:rsid w:val="0081142A"/>
    <w:rsid w:val="008138D3"/>
    <w:rsid w:val="008626FF"/>
    <w:rsid w:val="0087167D"/>
    <w:rsid w:val="008B3185"/>
    <w:rsid w:val="008F199B"/>
    <w:rsid w:val="00984177"/>
    <w:rsid w:val="009A4B63"/>
    <w:rsid w:val="009F67BF"/>
    <w:rsid w:val="00AC0B06"/>
    <w:rsid w:val="00B13B13"/>
    <w:rsid w:val="00C101A1"/>
    <w:rsid w:val="00C62745"/>
    <w:rsid w:val="00DC2F93"/>
    <w:rsid w:val="00E0346C"/>
    <w:rsid w:val="00E4382D"/>
    <w:rsid w:val="00EA1684"/>
    <w:rsid w:val="00FB57D3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755"/>
  <w15:chartTrackingRefBased/>
  <w15:docId w15:val="{28D559CE-EA49-4351-82B1-87A56AA7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38D3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33C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33C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33C5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3C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3C53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B77A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B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Nigol</dc:creator>
  <cp:keywords/>
  <dc:description/>
  <cp:lastModifiedBy>Aivar Nigol</cp:lastModifiedBy>
  <cp:revision>2</cp:revision>
  <dcterms:created xsi:type="dcterms:W3CDTF">2024-11-13T09:32:00Z</dcterms:created>
  <dcterms:modified xsi:type="dcterms:W3CDTF">2024-11-13T09:32:00Z</dcterms:modified>
</cp:coreProperties>
</file>